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Repressione Abusivismo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FICHERA ANTONINO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vigilanza sul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Repressione Abusivismo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Repressione abusi edilizi: demolizione d'ufficio - sospensione lavori - ingiunzione a rimuovere o a demolire - applicazione sanatoria pecunaria - sanzioni pecunarie (D.P.R. n. 380/2001 ex L. n. 47/85)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Repressione Abusivismo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Lottizzazione abusiva - art. 30, co. 7, D.P.R. n. 380/2001 (ex art. 18 L. n. 47/85)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Repressione Abusivismo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Autorizzazione/concessione installazione mezzi pubblicitari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Repressione Abusivismo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