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Pubblicita' ed affissioni - Riscossione coattiva canone servizio idrico integrato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NOCERA SALVATORE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Accertamenti tributari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SII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Rateizzazione del pagamento di somme da avvisi d'accertamento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Imposta comunale sulla pubblicita' e gestione dei diritti di affissione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attivita' concessionario riscossione ruoli pregressi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certificati relativi a posizioni tributarie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di conformita' per la sanatoria degli abusi edilizi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Risposte a istanze, comunicazioni, richieste di informazioni, opposizioni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riscossione coattiva mediante ingiunzioni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Diffide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riscossione volontaria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Applicazione degli istituti deflattivi del contenzioso (conciliazione giudiziale, mediazione, accertamento con adesione, autotutela, ravvedimento operoso, etc)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Rappresentanza dell'Ente nel contenzioso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del contenzioso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Applicazione disposizioni normative a tutela dei contribuenti (statuto del contribuente L. 212/2000)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Riduzioni ed esenzioni dal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Emissione avvisi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e bonifica banca dati contribuenti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Riscontro istanze interpello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Rimborsi a contribuenti-riversamenti a Comuni competenti - sgravi di quote indebite e inesigibili di tributi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Adozione misure per morosita' utenza idrica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Pubblicita' ed affissioni - Riscossione coattiva canone servizio idrico integrato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