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Controllo di gestione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PENNINO ROSALBA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di gestione ai sensi degli art. dal 196 al 198 bis del D.Lgs. 267/2000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Q) Progettazione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Controllo di gestione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