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Consiglio comunale e commissioni consiliari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CATALANO FILIPPA CONCETTA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Convenzioni tra i comuni e tra i comuni e provincia, costituzione e modificazione di forme associative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K) Partenariato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Statuti dell'ente e delle aziende speciali, regolamenti nonche' criteri generali in materia di ordinamento degli uffici e dei servizi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Tutte le aree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Assetto del territorio ed edilizia abitativa: Urbanistica e assetto del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Programmazione e pianificazione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L) Pianificazione urbanistica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economico e competitivita'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economico e competitivita': Reti e altri servizi di pubblica utilita'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Modalita' di gestione dei pubblici servizi e partecipazioni societarie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U) Societa' partecipate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Istituzione e ordinamento dei tributi, con esclusione della determinazione delle relative aliquote; disciplina generale delle tariffe per la fruizione dei beni e dei servizi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Debito pubblico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Indebitamento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Contrazione dei mutui non previsti espressamente in atti fondamentali del Consiglio Comunale ed emissione dei prestiti obbligazionari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Spese che impegnano i bilanci per gli esercizi successivi, escluse quelle relative alle locazioni di immobili ed alla somministrazione e fornitura di beni e servizi a carattere continuativo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Istituzione commissioni permanenti, temporanee o speciali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Debito pubblico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Regolarizzazione debito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Riconoscimento debiti fuori bilancio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Convalida consiglieri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Surroghe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Adesione centrale unica di committenza (CUC)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Nomina Presidente e Vicepresidente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Decadenze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Consiglio comunale e commissioni consiliari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